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08" w:rsidRPr="00FA087E" w:rsidRDefault="00D55B08" w:rsidP="00D55B08">
      <w:pPr>
        <w:pStyle w:val="StijlArtikel"/>
      </w:pPr>
      <w:bookmarkStart w:id="0" w:name="_GoBack"/>
      <w:bookmarkEnd w:id="0"/>
      <w:r w:rsidRPr="00FA087E">
        <w:t xml:space="preserve">Beveiliging </w:t>
      </w:r>
    </w:p>
    <w:p w:rsidR="00D55B08" w:rsidRPr="00FA087E" w:rsidRDefault="00D55B08" w:rsidP="00D55B08"/>
    <w:p w:rsidR="00D55B08" w:rsidRPr="00855309" w:rsidRDefault="00D55B08" w:rsidP="00D55B08">
      <w:pPr>
        <w:pStyle w:val="stijlartikel1"/>
        <w:rPr>
          <w:rFonts w:cs="Cambria"/>
        </w:rPr>
      </w:pPr>
      <w:r w:rsidRPr="00FA087E">
        <w:t>H</w:t>
      </w:r>
      <w:r w:rsidRPr="00FA087E">
        <w:rPr>
          <w:rFonts w:cs="Cambria"/>
        </w:rPr>
        <w:t xml:space="preserve">et </w:t>
      </w:r>
      <w:r>
        <w:rPr>
          <w:rFonts w:cs="Cambria"/>
        </w:rPr>
        <w:t>Stichting Samenwerkingsverband Schiedam Vlaardingen Maassluis onderwijs dat past</w:t>
      </w:r>
      <w:r w:rsidRPr="00FA087E">
        <w:rPr>
          <w:rFonts w:cs="Cambria"/>
        </w:rPr>
        <w:t xml:space="preserve"> </w:t>
      </w:r>
      <w:r w:rsidRPr="00F01FE6">
        <w:rPr>
          <w:rFonts w:cs="Cambria"/>
        </w:rPr>
        <w:t xml:space="preserve">hanteert het voor de onderwijssector vastgestelde normenkader bij het vaststellen van passende technische en organisatorische maatregelen waartoe de Verordening verplicht. </w:t>
      </w:r>
    </w:p>
    <w:p w:rsidR="00D55B08" w:rsidRPr="00FA087E" w:rsidRDefault="00D55B08" w:rsidP="00D55B08">
      <w:pPr>
        <w:rPr>
          <w:rFonts w:cs="Cambria"/>
        </w:rPr>
      </w:pPr>
    </w:p>
    <w:p w:rsidR="00D55B08" w:rsidRPr="00F01FE6" w:rsidRDefault="00D55B08" w:rsidP="00D55B08">
      <w:pPr>
        <w:pStyle w:val="stijlartikel1"/>
        <w:rPr>
          <w:rFonts w:cs="Cambria"/>
        </w:rPr>
      </w:pPr>
      <w:r>
        <w:t>Het Stichting Samenwerkingsverband Schiedam Vlaardingen Maassluis onderwijs dat past</w:t>
      </w:r>
      <w:r w:rsidRPr="00F01FE6">
        <w:rPr>
          <w:b/>
        </w:rPr>
        <w:t xml:space="preserve"> </w:t>
      </w:r>
      <w:r w:rsidRPr="00F01FE6">
        <w:t>treft maatregelen die een effectief beschermingsniveau bieden, afhankelijk van de risico’s die de verwerking en de aard van de te beschermen</w:t>
      </w:r>
      <w:r>
        <w:t xml:space="preserve"> gegevens met zich meebrengen. D</w:t>
      </w:r>
      <w:r w:rsidRPr="00F01FE6">
        <w:t>aarbij</w:t>
      </w:r>
      <w:r>
        <w:t xml:space="preserve"> </w:t>
      </w:r>
      <w:r w:rsidRPr="00F01FE6">
        <w:t>rekening houdend met de stand van de tec</w:t>
      </w:r>
      <w:r>
        <w:t xml:space="preserve">hniek en de uitvoeringskosten. </w:t>
      </w:r>
      <w:r w:rsidRPr="00F01FE6">
        <w:t xml:space="preserve">De maatregelen zijn er mede op gericht onnodige verzameling en verdere verwerking van persoonsgegevens te voorkomen. </w:t>
      </w:r>
    </w:p>
    <w:p w:rsidR="00D55B08" w:rsidRPr="00FA087E" w:rsidRDefault="00D55B08" w:rsidP="00D55B08"/>
    <w:p w:rsidR="00D55B08" w:rsidRPr="00FA087E" w:rsidRDefault="00D55B08" w:rsidP="00D55B08">
      <w:r w:rsidRPr="00FA087E">
        <w:rPr>
          <w:noProof/>
        </w:rPr>
        <mc:AlternateContent>
          <mc:Choice Requires="wps">
            <w:drawing>
              <wp:inline distT="0" distB="0" distL="0" distR="0" wp14:anchorId="688CB8F6" wp14:editId="79A0AB3A">
                <wp:extent cx="5759450" cy="2247900"/>
                <wp:effectExtent l="19050" t="19050" r="12700" b="19050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17C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B08" w:rsidRPr="00D10047" w:rsidRDefault="00D55B08" w:rsidP="00D55B08">
                            <w:pPr>
                              <w:spacing w:before="120" w:after="120"/>
                              <w:jc w:val="center"/>
                              <w:rPr>
                                <w:b/>
                                <w:color w:val="E17C01"/>
                              </w:rPr>
                            </w:pPr>
                            <w:r w:rsidRPr="00D10047">
                              <w:rPr>
                                <w:b/>
                                <w:color w:val="E17C01"/>
                              </w:rPr>
                              <w:t>Beleidskader</w:t>
                            </w:r>
                          </w:p>
                          <w:p w:rsidR="00D55B08" w:rsidRDefault="00D55B08" w:rsidP="00D55B0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10" w:hanging="510"/>
                            </w:pPr>
                            <w:r>
                              <w:t>Register van verwerkingsactiviteiten (bijlage I)</w:t>
                            </w:r>
                          </w:p>
                          <w:p w:rsidR="00D55B08" w:rsidRDefault="00D55B08" w:rsidP="00D55B0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10" w:hanging="510"/>
                            </w:pPr>
                            <w:proofErr w:type="spellStart"/>
                            <w:r>
                              <w:t>Gegevensbeschermingseffectbeoordeling</w:t>
                            </w:r>
                            <w:proofErr w:type="spellEnd"/>
                            <w:r>
                              <w:t xml:space="preserve"> (bijlage II)</w:t>
                            </w:r>
                          </w:p>
                          <w:p w:rsidR="00D55B08" w:rsidRDefault="00D55B08" w:rsidP="00D55B0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10" w:hanging="510"/>
                            </w:pPr>
                            <w:r>
                              <w:t>Protocol gebruik van e-mail, ICT en sociale media (bijlage III)</w:t>
                            </w:r>
                          </w:p>
                          <w:p w:rsidR="00D55B08" w:rsidRDefault="00D55B08" w:rsidP="00D55B0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10" w:hanging="510"/>
                            </w:pPr>
                            <w:r>
                              <w:t>Protocol gebruik van camera- en videobeelden (bijlage IV)</w:t>
                            </w:r>
                          </w:p>
                          <w:p w:rsidR="00D55B08" w:rsidRDefault="00D55B08" w:rsidP="00D55B0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10" w:hanging="510"/>
                            </w:pPr>
                            <w:r>
                              <w:t>Geheimhoudingsverklaring (bijlage V)</w:t>
                            </w:r>
                          </w:p>
                          <w:p w:rsidR="00D55B08" w:rsidRDefault="00D55B08" w:rsidP="00D55B0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10" w:hanging="510"/>
                            </w:pPr>
                            <w:r>
                              <w:t>Informatie- en toestemmingsformulieren (bijlage VII)</w:t>
                            </w:r>
                          </w:p>
                          <w:p w:rsidR="00D55B08" w:rsidRDefault="00D55B08" w:rsidP="00D55B0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10" w:hanging="510"/>
                            </w:pPr>
                            <w:r>
                              <w:t>Passende technische en organisatorische maatregelen (bijlage VIII)</w:t>
                            </w:r>
                          </w:p>
                          <w:p w:rsidR="00D55B08" w:rsidRDefault="00D55B08" w:rsidP="00D55B0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10" w:hanging="510"/>
                            </w:pPr>
                            <w:r>
                              <w:t>Verwerkers die voor het bevoegd gezag persoonsgegevens verwerken (bijlagen I, XI)</w:t>
                            </w:r>
                          </w:p>
                          <w:p w:rsidR="00D55B08" w:rsidRDefault="00D55B08" w:rsidP="00D55B0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10" w:hanging="510"/>
                            </w:pPr>
                            <w:r>
                              <w:t>Handboek datalekken (bijlage XII</w:t>
                            </w:r>
                            <w:r w:rsidRPr="006E1B63">
                              <w:t>)</w:t>
                            </w:r>
                          </w:p>
                          <w:p w:rsidR="00D55B08" w:rsidRDefault="00D55B08" w:rsidP="00D55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8CB8F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53.5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3NKgIAAEcEAAAOAAAAZHJzL2Uyb0RvYy54bWysU9uO2yAQfa/Uf0C8N3bSpEmsOKttdlNV&#10;2l6k3X4AxjhGAYYCiZ1+/Q44u41S9aUqD4hhhsPMOTOrm14rchTOSzAlHY9ySoThUEuzK+mPp+27&#10;BSU+MFMzBUaU9CQ8vVm/fbPqbCEm0IKqhSMIYnzR2ZK2IdgiyzxvhWZ+BFYYdDbgNAtoul1WO9Yh&#10;ulbZJM8/ZB242jrgwnu8vRucdJ3wm0bw8K1pvAhElRRzC2l3aa/inq1XrNg5ZlvJz2mwf8hCM2nw&#10;01eoOxYYOTj5B5SW3IGHJow46AyaRnKRasBqxvlVNY8tsyLVguR4+0qT/3+w/OvxuyOyRu3eU2KY&#10;Ro2exN6HI9uTSaSns77AqEeLcaH/CD2GplK9fQC+98TApmVmJ26dg64VrMb0xvFldvF0wPERpOq+&#10;QI3fsEOABNQ3TkfukA2C6CjT6VUa0QfC8XI2ny2nM3Rx9E0m0/kyT+JlrHh5bp0PnwRoEg8ldah9&#10;gmfHBx9iOqx4CYm/eVCy3kqlkuF21UY5cmTYJ9u0UgVXYcqQDr9fYDYDBX/FuB/PN/nAwhWGlgE7&#10;Xkld0kUe19CDkbh7U6d+DEyq4Yw5K3NmMpI30Bj6qj8rU0F9Qk4dDJ2Nk4iHFtwvSjrs6pL6nwfm&#10;BCXqs0FdluPpNI5BMqaz+QQNd+mpLj3McIQqaaBkOG5CGp3ImIFb1K+Ridko9JDJOVfs1kT4ebLi&#10;OFzaKer3/K+fAQAA//8DAFBLAwQUAAYACAAAACEAkDLSnNkAAAAFAQAADwAAAGRycy9kb3ducmV2&#10;LnhtbEyPzU7DMBCE70i8g7VI3KjNb5s0ToUq9YgQhQPHbbKNo8a7Ueym6dtjuNDLSKNZzXxbrCbf&#10;qZGG0ApbuJ8ZUMSV1C03Fr4+N3cLUCEi19gJk4UzBViV11cF5rWc+IPGbWxUKuGQowUXY59rHSpH&#10;HsNMeuKU7WXwGJMdGl0PeErlvtMPxrxojy2nBYc9rR1Vh+3RW+jDt7h5hu/rceMXcpY33LeZtbc3&#10;0+sSVKQp/h/DL35ChzIx7eTIdVCdhfRI/NOUZWae7M7C4/OTAV0W+pK+/AEAAP//AwBQSwECLQAU&#10;AAYACAAAACEAtoM4kv4AAADhAQAAEwAAAAAAAAAAAAAAAAAAAAAAW0NvbnRlbnRfVHlwZXNdLnht&#10;bFBLAQItABQABgAIAAAAIQA4/SH/1gAAAJQBAAALAAAAAAAAAAAAAAAAAC8BAABfcmVscy8ucmVs&#10;c1BLAQItABQABgAIAAAAIQByRm3NKgIAAEcEAAAOAAAAAAAAAAAAAAAAAC4CAABkcnMvZTJvRG9j&#10;LnhtbFBLAQItABQABgAIAAAAIQCQMtKc2QAAAAUBAAAPAAAAAAAAAAAAAAAAAIQEAABkcnMvZG93&#10;bnJldi54bWxQSwUGAAAAAAQABADzAAAAigUAAAAA&#10;" strokecolor="#e17c01" strokeweight="2.25pt">
                <v:textbox>
                  <w:txbxContent>
                    <w:p w:rsidR="00D55B08" w:rsidRPr="00D10047" w:rsidRDefault="00D55B08" w:rsidP="00D55B08">
                      <w:pPr>
                        <w:spacing w:before="120" w:after="120"/>
                        <w:jc w:val="center"/>
                        <w:rPr>
                          <w:b/>
                          <w:color w:val="E17C01"/>
                        </w:rPr>
                      </w:pPr>
                      <w:r w:rsidRPr="00D10047">
                        <w:rPr>
                          <w:b/>
                          <w:color w:val="E17C01"/>
                        </w:rPr>
                        <w:t>Beleidskader</w:t>
                      </w:r>
                    </w:p>
                    <w:p w:rsidR="00D55B08" w:rsidRDefault="00D55B08" w:rsidP="00D55B08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510" w:hanging="510"/>
                      </w:pPr>
                      <w:r>
                        <w:t>Register van verwerkingsactiviteiten (bijlage I)</w:t>
                      </w:r>
                    </w:p>
                    <w:p w:rsidR="00D55B08" w:rsidRDefault="00D55B08" w:rsidP="00D55B08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510" w:hanging="510"/>
                      </w:pPr>
                      <w:proofErr w:type="spellStart"/>
                      <w:r>
                        <w:t>Gegevensbeschermingseffectbeoordeling</w:t>
                      </w:r>
                      <w:proofErr w:type="spellEnd"/>
                      <w:r>
                        <w:t xml:space="preserve"> (bijlage II)</w:t>
                      </w:r>
                    </w:p>
                    <w:p w:rsidR="00D55B08" w:rsidRDefault="00D55B08" w:rsidP="00D55B08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510" w:hanging="510"/>
                      </w:pPr>
                      <w:r>
                        <w:t>Protocol gebruik van e-mail, ICT en sociale media (bijlage III)</w:t>
                      </w:r>
                    </w:p>
                    <w:p w:rsidR="00D55B08" w:rsidRDefault="00D55B08" w:rsidP="00D55B08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510" w:hanging="510"/>
                      </w:pPr>
                      <w:r>
                        <w:t>Protocol gebruik van camera- en videobeelden (bijlage IV)</w:t>
                      </w:r>
                    </w:p>
                    <w:p w:rsidR="00D55B08" w:rsidRDefault="00D55B08" w:rsidP="00D55B08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510" w:hanging="510"/>
                      </w:pPr>
                      <w:r>
                        <w:t>Geheimhoudingsverklaring (bijlage V)</w:t>
                      </w:r>
                    </w:p>
                    <w:p w:rsidR="00D55B08" w:rsidRDefault="00D55B08" w:rsidP="00D55B08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510" w:hanging="510"/>
                      </w:pPr>
                      <w:r>
                        <w:t>Informatie- en toestemmingsformulieren (bijlage VII)</w:t>
                      </w:r>
                    </w:p>
                    <w:p w:rsidR="00D55B08" w:rsidRDefault="00D55B08" w:rsidP="00D55B08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510" w:hanging="510"/>
                      </w:pPr>
                      <w:r>
                        <w:t>Passende technische en organisatorische maatregelen (bijlage VIII)</w:t>
                      </w:r>
                    </w:p>
                    <w:p w:rsidR="00D55B08" w:rsidRDefault="00D55B08" w:rsidP="00D55B08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510" w:hanging="510"/>
                      </w:pPr>
                      <w:r>
                        <w:t>Verwerkers die voor het bevoegd gezag persoonsgegevens verwerken (bijlagen I, XI)</w:t>
                      </w:r>
                    </w:p>
                    <w:p w:rsidR="00D55B08" w:rsidRDefault="00D55B08" w:rsidP="00D55B08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510" w:hanging="510"/>
                      </w:pPr>
                      <w:r>
                        <w:t>Handboek datalekken (bijlage XII</w:t>
                      </w:r>
                      <w:r w:rsidRPr="006E1B63">
                        <w:t>)</w:t>
                      </w:r>
                    </w:p>
                    <w:p w:rsidR="00D55B08" w:rsidRDefault="00D55B08" w:rsidP="00D55B08"/>
                  </w:txbxContent>
                </v:textbox>
                <w10:anchorlock/>
              </v:shape>
            </w:pict>
          </mc:Fallback>
        </mc:AlternateContent>
      </w:r>
    </w:p>
    <w:p w:rsidR="00D55B08" w:rsidRPr="00FA087E" w:rsidRDefault="00D55B08" w:rsidP="00D55B08">
      <w:pPr>
        <w:ind w:left="709"/>
        <w:contextualSpacing/>
      </w:pPr>
    </w:p>
    <w:p w:rsidR="006811D7" w:rsidRPr="00D55B08" w:rsidRDefault="00D55B08">
      <w:pPr>
        <w:rPr>
          <w:rFonts w:eastAsia="Times New Roman" w:cstheme="minorBidi"/>
          <w:b/>
          <w:color w:val="E17C01"/>
          <w:sz w:val="28"/>
          <w:lang w:eastAsia="en-US"/>
        </w:rPr>
      </w:pPr>
    </w:p>
    <w:sectPr w:rsidR="006811D7" w:rsidRPr="00D55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76C5"/>
    <w:multiLevelType w:val="multilevel"/>
    <w:tmpl w:val="1DF46894"/>
    <w:lvl w:ilvl="0">
      <w:start w:val="7"/>
      <w:numFmt w:val="decimal"/>
      <w:pStyle w:val="StijlArtikel"/>
      <w:lvlText w:val="Artikel %1."/>
      <w:lvlJc w:val="left"/>
      <w:pPr>
        <w:ind w:left="709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tijlartikel1"/>
      <w:lvlText w:val="%1.%2."/>
      <w:lvlJc w:val="left"/>
      <w:pPr>
        <w:ind w:left="851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ijlartikel11"/>
      <w:lvlText w:val="%1.%2.%3."/>
      <w:lvlJc w:val="left"/>
      <w:pPr>
        <w:ind w:left="851" w:hanging="709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lowerLetter"/>
      <w:pStyle w:val="Stijlanaartikel1"/>
      <w:lvlText w:val="%4."/>
      <w:lvlJc w:val="left"/>
      <w:pPr>
        <w:ind w:left="1418" w:hanging="709"/>
      </w:pPr>
      <w:rPr>
        <w:rFonts w:ascii="Trebuchet MS" w:eastAsia="Times New Roman" w:hAnsi="Trebuchet MS" w:cstheme="minorBidi" w:hint="default"/>
        <w:b w:val="0"/>
        <w:i w:val="0"/>
        <w:color w:val="auto"/>
      </w:rPr>
    </w:lvl>
    <w:lvl w:ilvl="4">
      <w:start w:val="1"/>
      <w:numFmt w:val="lowerLetter"/>
      <w:pStyle w:val="Stijla"/>
      <w:lvlText w:val="%5."/>
      <w:lvlJc w:val="left"/>
      <w:pPr>
        <w:ind w:left="709" w:hanging="709"/>
      </w:pPr>
      <w:rPr>
        <w:rFonts w:hint="default"/>
        <w:b w:val="0"/>
        <w:i w:val="0"/>
      </w:rPr>
    </w:lvl>
    <w:lvl w:ilvl="5">
      <w:start w:val="1"/>
      <w:numFmt w:val="bullet"/>
      <w:lvlText w:val="‐"/>
      <w:lvlJc w:val="left"/>
      <w:pPr>
        <w:ind w:left="1418" w:hanging="709"/>
      </w:pPr>
      <w:rPr>
        <w:rFonts w:ascii="Trebuchet MS" w:hAnsi="Trebuchet MS" w:hint="default"/>
        <w:b w:val="0"/>
        <w:i w:val="0"/>
      </w:rPr>
    </w:lvl>
    <w:lvl w:ilvl="6">
      <w:start w:val="1"/>
      <w:numFmt w:val="bullet"/>
      <w:pStyle w:val="Stijl1opsomming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5E22D1E"/>
    <w:multiLevelType w:val="hybridMultilevel"/>
    <w:tmpl w:val="44140112"/>
    <w:lvl w:ilvl="0" w:tplc="8B5E0E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17C0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08"/>
    <w:rsid w:val="00B20404"/>
    <w:rsid w:val="00BB0E89"/>
    <w:rsid w:val="00D5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1C638-6220-4B3D-A763-7ADFC038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5B08"/>
    <w:pPr>
      <w:spacing w:after="0" w:line="312" w:lineRule="auto"/>
      <w:jc w:val="both"/>
    </w:pPr>
    <w:rPr>
      <w:rFonts w:ascii="Trebuchet MS" w:eastAsia="MS Mincho" w:hAnsi="Trebuchet M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5B08"/>
    <w:pPr>
      <w:ind w:left="720"/>
      <w:contextualSpacing/>
    </w:pPr>
  </w:style>
  <w:style w:type="paragraph" w:customStyle="1" w:styleId="StijlArtikel">
    <w:name w:val="Stijl Artikel"/>
    <w:basedOn w:val="Standaard"/>
    <w:qFormat/>
    <w:rsid w:val="00D55B08"/>
    <w:pPr>
      <w:numPr>
        <w:numId w:val="1"/>
      </w:numPr>
    </w:pPr>
    <w:rPr>
      <w:rFonts w:eastAsia="Times New Roman" w:cstheme="minorBidi"/>
      <w:b/>
      <w:color w:val="E17C01"/>
      <w:sz w:val="28"/>
      <w:lang w:eastAsia="en-US"/>
    </w:rPr>
  </w:style>
  <w:style w:type="paragraph" w:customStyle="1" w:styleId="stijlartikel1">
    <w:name w:val="stijl artikel.1"/>
    <w:basedOn w:val="Standaard"/>
    <w:qFormat/>
    <w:rsid w:val="00D55B08"/>
    <w:pPr>
      <w:numPr>
        <w:ilvl w:val="1"/>
        <w:numId w:val="1"/>
      </w:numPr>
    </w:pPr>
    <w:rPr>
      <w:rFonts w:eastAsia="Times New Roman" w:cstheme="minorBidi"/>
      <w:lang w:eastAsia="en-US"/>
    </w:rPr>
  </w:style>
  <w:style w:type="paragraph" w:customStyle="1" w:styleId="Stijlartikel11">
    <w:name w:val="Stijl artikel.1.1"/>
    <w:basedOn w:val="stijlartikel1"/>
    <w:qFormat/>
    <w:rsid w:val="00D55B08"/>
    <w:pPr>
      <w:numPr>
        <w:ilvl w:val="2"/>
      </w:numPr>
    </w:pPr>
  </w:style>
  <w:style w:type="paragraph" w:customStyle="1" w:styleId="Stijlanaartikel1">
    <w:name w:val="Stijl a) na artikel.1"/>
    <w:basedOn w:val="Stijlartikel11"/>
    <w:qFormat/>
    <w:rsid w:val="00D55B08"/>
    <w:pPr>
      <w:numPr>
        <w:ilvl w:val="3"/>
      </w:numPr>
    </w:pPr>
  </w:style>
  <w:style w:type="paragraph" w:customStyle="1" w:styleId="Stijla">
    <w:name w:val="Stijl a)"/>
    <w:basedOn w:val="Standaard"/>
    <w:qFormat/>
    <w:rsid w:val="00D55B08"/>
    <w:pPr>
      <w:numPr>
        <w:ilvl w:val="4"/>
        <w:numId w:val="1"/>
      </w:numPr>
    </w:pPr>
    <w:rPr>
      <w:rFonts w:eastAsia="Times New Roman" w:cstheme="minorBidi"/>
      <w:lang w:eastAsia="en-US"/>
    </w:rPr>
  </w:style>
  <w:style w:type="paragraph" w:customStyle="1" w:styleId="Stijl1opsomming">
    <w:name w:val="Stijl1 opsomming"/>
    <w:basedOn w:val="Standaard"/>
    <w:qFormat/>
    <w:rsid w:val="00D55B08"/>
    <w:pPr>
      <w:numPr>
        <w:ilvl w:val="6"/>
        <w:numId w:val="1"/>
      </w:numPr>
    </w:pPr>
    <w:rPr>
      <w:rFonts w:eastAsia="Times New Roma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Jan Vonk</dc:creator>
  <cp:keywords/>
  <dc:description/>
  <cp:lastModifiedBy>Geert Jan Vonk</cp:lastModifiedBy>
  <cp:revision>1</cp:revision>
  <dcterms:created xsi:type="dcterms:W3CDTF">2018-06-29T11:48:00Z</dcterms:created>
  <dcterms:modified xsi:type="dcterms:W3CDTF">2018-06-29T11:49:00Z</dcterms:modified>
</cp:coreProperties>
</file>